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Moc umowna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  <w:strike/>
          <w:vertAlign w:val="superscript"/>
        </w:rPr>
      </w:pPr>
      <w:r>
        <w:rPr>
          <w:rFonts w:cs="Arial" w:ascii="Arial" w:hAnsi="Arial"/>
        </w:rPr>
        <w:t xml:space="preserve">Klient zamawia następującą moc umowną: </w:t>
      </w:r>
    </w:p>
    <w:p>
      <w:pPr>
        <w:pStyle w:val="ListParagraph"/>
        <w:spacing w:lineRule="atLeast" w:line="20" w:before="0" w:after="120"/>
        <w:ind w:left="720" w:right="181" w:hanging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tbl>
      <w:tblPr>
        <w:tblW w:w="8572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32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582"/>
        <w:gridCol w:w="660"/>
        <w:gridCol w:w="209"/>
        <w:gridCol w:w="332"/>
        <w:gridCol w:w="512"/>
        <w:gridCol w:w="131"/>
        <w:gridCol w:w="164"/>
        <w:gridCol w:w="543"/>
        <w:gridCol w:w="486"/>
        <w:gridCol w:w="40"/>
        <w:gridCol w:w="717"/>
        <w:gridCol w:w="588"/>
        <w:gridCol w:w="38"/>
        <w:gridCol w:w="274"/>
        <w:gridCol w:w="354"/>
        <w:gridCol w:w="724"/>
        <w:gridCol w:w="99"/>
        <w:gridCol w:w="724"/>
        <w:gridCol w:w="530"/>
        <w:gridCol w:w="157"/>
        <w:gridCol w:w="707"/>
      </w:tblGrid>
      <w:tr>
        <w:trPr>
          <w:trHeight w:val="227" w:hRule="atLeast"/>
        </w:trPr>
        <w:tc>
          <w:tcPr>
            <w:tcW w:w="8571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A"/>
                <w:sz w:val="16"/>
                <w:szCs w:val="16"/>
              </w:rPr>
              <w:t>Obiekt nr 1</w:t>
            </w:r>
          </w:p>
        </w:tc>
      </w:tr>
      <w:tr>
        <w:trPr>
          <w:trHeight w:val="227" w:hRule="atLeast"/>
        </w:trPr>
        <w:tc>
          <w:tcPr>
            <w:tcW w:w="145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  <w:t xml:space="preserve">Nazwa obiektu (opis) </w:t>
            </w:r>
          </w:p>
        </w:tc>
        <w:tc>
          <w:tcPr>
            <w:tcW w:w="7120" w:type="dxa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4"/>
                <w:szCs w:val="14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</w:r>
          </w:p>
        </w:tc>
      </w:tr>
      <w:tr>
        <w:trPr>
          <w:trHeight w:val="227" w:hRule="atLeast"/>
        </w:trPr>
        <w:tc>
          <w:tcPr>
            <w:tcW w:w="1451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  <w:t>Adres obiektu</w:t>
            </w:r>
          </w:p>
        </w:tc>
        <w:tc>
          <w:tcPr>
            <w:tcW w:w="844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0"/>
                <w:szCs w:val="10"/>
              </w:rPr>
              <w:t>(kod pocztowy)</w:t>
            </w:r>
          </w:p>
        </w:tc>
        <w:tc>
          <w:tcPr>
            <w:tcW w:w="1324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0"/>
                <w:szCs w:val="10"/>
              </w:rPr>
              <w:t>(poczta)</w:t>
            </w:r>
          </w:p>
        </w:tc>
        <w:tc>
          <w:tcPr>
            <w:tcW w:w="1383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0"/>
                <w:szCs w:val="10"/>
              </w:rPr>
              <w:t>(miejscowość)</w:t>
            </w:r>
          </w:p>
        </w:tc>
        <w:tc>
          <w:tcPr>
            <w:tcW w:w="1451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0"/>
                <w:szCs w:val="10"/>
              </w:rPr>
              <w:t>(ulica)</w:t>
            </w:r>
          </w:p>
        </w:tc>
        <w:tc>
          <w:tcPr>
            <w:tcW w:w="1254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0"/>
                <w:szCs w:val="10"/>
              </w:rPr>
              <w:t>(nr budynku)</w:t>
            </w:r>
          </w:p>
        </w:tc>
        <w:tc>
          <w:tcPr>
            <w:tcW w:w="864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00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0"/>
                <w:szCs w:val="10"/>
              </w:rPr>
              <w:t>(nr lokalu)</w:t>
            </w:r>
          </w:p>
        </w:tc>
      </w:tr>
      <w:tr>
        <w:trPr>
          <w:trHeight w:val="227" w:hRule="atLeast"/>
        </w:trPr>
        <w:tc>
          <w:tcPr>
            <w:tcW w:w="2590" w:type="dxa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2686" w:type="dxa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b/>
                <w:b/>
                <w:color w:val="00000A"/>
                <w:sz w:val="14"/>
                <w:szCs w:val="14"/>
              </w:rPr>
            </w:pPr>
            <w:r>
              <w:rPr>
                <w:rFonts w:cs="Arial" w:ascii="Arial" w:hAnsi="Arial"/>
                <w:b/>
                <w:color w:val="00000A"/>
                <w:sz w:val="14"/>
                <w:szCs w:val="14"/>
              </w:rPr>
              <w:t>Przyłącze 1</w:t>
            </w:r>
          </w:p>
        </w:tc>
        <w:tc>
          <w:tcPr>
            <w:tcW w:w="3295" w:type="dxa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b/>
                <w:b/>
                <w:color w:val="00000A"/>
                <w:sz w:val="14"/>
                <w:szCs w:val="14"/>
              </w:rPr>
            </w:pPr>
            <w:r>
              <w:rPr>
                <w:rFonts w:cs="Arial" w:ascii="Arial" w:hAnsi="Arial"/>
                <w:b/>
                <w:color w:val="00000A"/>
                <w:sz w:val="14"/>
                <w:szCs w:val="14"/>
              </w:rPr>
              <w:t>Przyłącze 2</w:t>
            </w:r>
          </w:p>
        </w:tc>
      </w:tr>
      <w:tr>
        <w:trPr>
          <w:trHeight w:val="227" w:hRule="atLeast"/>
        </w:trPr>
        <w:tc>
          <w:tcPr>
            <w:tcW w:w="2590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Kod PPE</w:t>
            </w:r>
          </w:p>
        </w:tc>
        <w:tc>
          <w:tcPr>
            <w:tcW w:w="2686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rPr>
                <w:rFonts w:ascii="Arial" w:hAnsi="Arial" w:cs="Arial"/>
                <w:bCs/>
                <w:iCs/>
                <w:spacing w:val="0"/>
                <w:sz w:val="14"/>
                <w:szCs w:val="14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4"/>
                <w:szCs w:val="14"/>
              </w:rPr>
            </w:r>
          </w:p>
        </w:tc>
        <w:tc>
          <w:tcPr>
            <w:tcW w:w="3295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rPr>
                <w:rFonts w:ascii="Arial" w:hAnsi="Arial" w:cs="Arial"/>
                <w:bCs/>
                <w:iCs/>
                <w:spacing w:val="0"/>
                <w:sz w:val="14"/>
                <w:szCs w:val="14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4"/>
                <w:szCs w:val="14"/>
              </w:rPr>
            </w:r>
          </w:p>
        </w:tc>
      </w:tr>
      <w:tr>
        <w:trPr>
          <w:trHeight w:val="227" w:hRule="atLeast"/>
        </w:trPr>
        <w:tc>
          <w:tcPr>
            <w:tcW w:w="2590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Moc umowna [kW]</w:t>
            </w:r>
          </w:p>
        </w:tc>
        <w:tc>
          <w:tcPr>
            <w:tcW w:w="2686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rPr>
                <w:rFonts w:ascii="Arial" w:hAnsi="Arial" w:cs="Arial"/>
                <w:bCs/>
                <w:iCs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3295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rPr>
                <w:rFonts w:ascii="Arial" w:hAnsi="Arial" w:cs="Arial"/>
                <w:bCs/>
                <w:iCs/>
                <w:spacing w:val="0"/>
                <w:sz w:val="14"/>
                <w:szCs w:val="14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4"/>
                <w:szCs w:val="14"/>
              </w:rPr>
            </w:r>
          </w:p>
        </w:tc>
      </w:tr>
      <w:tr>
        <w:trPr>
          <w:trHeight w:val="227" w:hRule="atLeast"/>
        </w:trPr>
        <w:tc>
          <w:tcPr>
            <w:tcW w:w="8571" w:type="dxa"/>
            <w:gridSpan w:val="2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2"/>
                <w:szCs w:val="12"/>
              </w:rPr>
              <w:t xml:space="preserve">Zamawiana przez </w:t>
            </w:r>
            <w:r>
              <w:rPr>
                <w:rFonts w:cs="Arial" w:ascii="Arial" w:hAnsi="Arial"/>
                <w:b/>
                <w:bCs/>
                <w:iCs/>
                <w:spacing w:val="0"/>
                <w:sz w:val="12"/>
                <w:szCs w:val="12"/>
              </w:rPr>
              <w:t>Klienta</w:t>
            </w:r>
            <w:r>
              <w:rPr>
                <w:rFonts w:cs="Arial" w:ascii="Arial" w:hAnsi="Arial"/>
                <w:bCs/>
                <w:iCs/>
                <w:spacing w:val="0"/>
                <w:sz w:val="12"/>
                <w:szCs w:val="12"/>
              </w:rPr>
              <w:t xml:space="preserve"> moc umowna </w:t>
            </w:r>
            <w:r>
              <w:rPr>
                <w:rFonts w:cs="Arial" w:ascii="Arial" w:hAnsi="Arial"/>
                <w:sz w:val="12"/>
                <w:szCs w:val="12"/>
              </w:rPr>
              <w:t>w zróżnicowanej wysokości na poszczególne miesiące roku [kW]:</w:t>
            </w:r>
          </w:p>
        </w:tc>
      </w:tr>
      <w:tr>
        <w:trPr>
          <w:trHeight w:val="227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2"/>
                <w:szCs w:val="12"/>
              </w:rPr>
            </w:r>
          </w:p>
        </w:tc>
        <w:tc>
          <w:tcPr>
            <w:tcW w:w="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Styczeń</w:t>
            </w:r>
          </w:p>
        </w:tc>
        <w:tc>
          <w:tcPr>
            <w:tcW w:w="54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Luty</w:t>
            </w:r>
          </w:p>
        </w:tc>
        <w:tc>
          <w:tcPr>
            <w:tcW w:w="6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Marzec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Kwiecień</w:t>
            </w:r>
          </w:p>
        </w:tc>
        <w:tc>
          <w:tcPr>
            <w:tcW w:w="52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 xml:space="preserve">Maj 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Czerwiec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Lipiec</w:t>
            </w:r>
          </w:p>
        </w:tc>
        <w:tc>
          <w:tcPr>
            <w:tcW w:w="6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sz w:val="10"/>
                <w:szCs w:val="10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Sierpie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Wrzesień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Październik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Listopad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tLeast" w:line="20" w:before="0" w:after="120"/>
              <w:ind w:right="181" w:hanging="0"/>
              <w:jc w:val="center"/>
              <w:rPr>
                <w:rFonts w:ascii="Arial" w:hAnsi="Arial" w:cs="Arial"/>
                <w:bCs/>
                <w:iCs/>
                <w:spacing w:val="0"/>
                <w:sz w:val="12"/>
                <w:szCs w:val="12"/>
              </w:rPr>
            </w:pPr>
            <w:r>
              <w:rPr>
                <w:rFonts w:cs="Arial" w:ascii="Arial" w:hAnsi="Arial"/>
                <w:bCs/>
                <w:iCs/>
                <w:spacing w:val="0"/>
                <w:sz w:val="10"/>
                <w:szCs w:val="10"/>
              </w:rPr>
              <w:t>Grudzień</w:t>
            </w:r>
          </w:p>
        </w:tc>
      </w:tr>
      <w:tr>
        <w:trPr>
          <w:trHeight w:val="227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0"/>
                <w:szCs w:val="10"/>
              </w:rPr>
              <w:t>Przyłącze 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54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6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52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6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0"/>
                <w:szCs w:val="10"/>
              </w:rPr>
              <w:t>Przyłącze 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54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6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52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6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7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Stylwyliczanie"/>
              <w:spacing w:before="120" w:after="0"/>
              <w:jc w:val="left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2"/>
                <w:szCs w:val="12"/>
              </w:rPr>
            </w:r>
          </w:p>
        </w:tc>
      </w:tr>
    </w:tbl>
    <w:p>
      <w:pPr>
        <w:pStyle w:val="Normal"/>
        <w:ind w:left="360" w:right="181" w:hanging="0"/>
        <w:jc w:val="both"/>
        <w:rPr>
          <w:rFonts w:ascii="Arial" w:hAnsi="Arial" w:cs="Arial"/>
          <w:i/>
          <w:i/>
          <w:sz w:val="10"/>
          <w:szCs w:val="10"/>
        </w:rPr>
      </w:pPr>
      <w:r>
        <w:rPr>
          <w:rFonts w:cs="Arial" w:ascii="Arial" w:hAnsi="Arial"/>
          <w:i/>
          <w:sz w:val="10"/>
          <w:szCs w:val="10"/>
        </w:rPr>
      </w:r>
    </w:p>
    <w:p>
      <w:pPr>
        <w:pStyle w:val="Stylwyliczanie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Potwierdzam, iż zapoznałem się i akceptuję następujące zasady zamawiania mocy, obowiązujące w OSD: </w:t>
      </w:r>
    </w:p>
    <w:p>
      <w:pPr>
        <w:pStyle w:val="Wcicietrecitekstu"/>
        <w:numPr>
          <w:ilvl w:val="0"/>
          <w:numId w:val="2"/>
        </w:numPr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Zamówienie mocy musi być zgodne z postanowieniami  Umowy  i aktualnie obowiązującej Taryfy OSD .</w:t>
      </w:r>
    </w:p>
    <w:p>
      <w:pPr>
        <w:pStyle w:val="Wcicietrecitekstu"/>
        <w:numPr>
          <w:ilvl w:val="0"/>
          <w:numId w:val="2"/>
        </w:numPr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Moc umowna nie może być większa niż określona w Umowie moc przyłączeniowa.</w:t>
      </w:r>
    </w:p>
    <w:p>
      <w:pPr>
        <w:pStyle w:val="Wcicietrecitekstu"/>
        <w:numPr>
          <w:ilvl w:val="0"/>
          <w:numId w:val="2"/>
        </w:numPr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przypadku zamówienia mocy niezgodnie z punktami 1 i 2:</w:t>
      </w:r>
    </w:p>
    <w:p>
      <w:pPr>
        <w:pStyle w:val="ListParagraph"/>
        <w:numPr>
          <w:ilvl w:val="1"/>
          <w:numId w:val="3"/>
        </w:numPr>
        <w:tabs>
          <w:tab w:val="left" w:pos="567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zamówienie nie zostanie przyjęte do realizacji</w:t>
      </w:r>
    </w:p>
    <w:p>
      <w:pPr>
        <w:pStyle w:val="Normal"/>
        <w:numPr>
          <w:ilvl w:val="1"/>
          <w:numId w:val="3"/>
        </w:numPr>
        <w:tabs>
          <w:tab w:val="left" w:pos="567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stosownym pismem Klient zostaje niezwłocznie poinformowany o powyższym fakcie </w:t>
      </w:r>
    </w:p>
    <w:p>
      <w:pPr>
        <w:pStyle w:val="Normal"/>
        <w:numPr>
          <w:ilvl w:val="1"/>
          <w:numId w:val="3"/>
        </w:numPr>
        <w:tabs>
          <w:tab w:val="left" w:pos="567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Klient zobowiązany jest do niezwłocznej zmiany dokumentu obejmującego zamówienie mocy w celu dostosowania go do wymagań punktów 1 i 2.</w:t>
      </w:r>
    </w:p>
    <w:p>
      <w:pPr>
        <w:pStyle w:val="Wcicietrecitekstu"/>
        <w:numPr>
          <w:ilvl w:val="0"/>
          <w:numId w:val="2"/>
        </w:numPr>
        <w:spacing w:lineRule="auto" w:line="276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przypadku, gdy Klient nie spełni wymagań określonych w pkt. 3. ppkt 3), do rozliczeń zostanie przyjęta moc umowna równa mocy przyłączeniowej.</w:t>
      </w:r>
    </w:p>
    <w:p>
      <w:pPr>
        <w:pStyle w:val="Wcicietrecitekstu"/>
        <w:numPr>
          <w:ilvl w:val="0"/>
          <w:numId w:val="2"/>
        </w:numPr>
        <w:spacing w:lineRule="auto" w:line="276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zmiany wielkości mocy umownej w stosunku do mocy określonej zgodnie z ww. zasadami, muszą być zgłoszone co najmniej 7 dni przed rozpoczęciem okresu, którego zmiana ma dotyczyć.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Data: ……………………………</w:t>
        <w:tab/>
        <w:tab/>
        <w:tab/>
        <w:tab/>
        <w:t>Podpis Klienta: 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  <w:r>
        <w:br w:type="page"/>
      </w:r>
    </w:p>
    <w:p>
      <w:pPr>
        <w:pStyle w:val="Stylwyliczanie"/>
        <w:tabs>
          <w:tab w:val="left" w:pos="0" w:leader="none"/>
          <w:tab w:val="left" w:pos="851" w:leader="none"/>
          <w:tab w:val="center" w:pos="4536" w:leader="none"/>
          <w:tab w:val="right" w:pos="9072" w:leader="none"/>
        </w:tabs>
        <w:spacing w:before="0" w:after="0"/>
        <w:jc w:val="left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</w:r>
    </w:p>
    <w:p>
      <w:pPr>
        <w:pStyle w:val="Stylwyliczanie"/>
        <w:tabs>
          <w:tab w:val="left" w:pos="0" w:leader="none"/>
          <w:tab w:val="left" w:pos="851" w:leader="none"/>
          <w:tab w:val="center" w:pos="4536" w:leader="none"/>
          <w:tab w:val="right" w:pos="9072" w:leader="none"/>
        </w:tabs>
        <w:spacing w:before="0" w:after="0"/>
        <w:jc w:val="left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Dane techniczne</w:t>
      </w:r>
    </w:p>
    <w:p>
      <w:pPr>
        <w:pStyle w:val="Stylwyliczanie"/>
        <w:tabs>
          <w:tab w:val="left" w:pos="0" w:leader="none"/>
          <w:tab w:val="left" w:pos="851" w:leader="none"/>
          <w:tab w:val="center" w:pos="4536" w:leader="none"/>
          <w:tab w:val="right" w:pos="9072" w:leader="none"/>
        </w:tabs>
        <w:spacing w:lineRule="atLeast" w:line="20" w:before="0" w:after="120"/>
        <w:ind w:left="357" w:hanging="0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Stylwyliczanie"/>
        <w:tabs>
          <w:tab w:val="left" w:pos="0" w:leader="none"/>
          <w:tab w:val="left" w:pos="851" w:leader="none"/>
          <w:tab w:val="center" w:pos="4536" w:leader="none"/>
          <w:tab w:val="right" w:pos="9072" w:leader="none"/>
        </w:tabs>
        <w:spacing w:lineRule="auto" w:line="360" w:before="0" w:after="0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Obiekt nr 1</w:t>
      </w:r>
    </w:p>
    <w:p>
      <w:pPr>
        <w:pStyle w:val="Lista"/>
        <w:widowControl w:val="false"/>
        <w:numPr>
          <w:ilvl w:val="0"/>
          <w:numId w:val="1"/>
        </w:numPr>
        <w:tabs>
          <w:tab w:val="left" w:pos="0" w:leader="none"/>
        </w:tabs>
        <w:suppressAutoHyphens w:val="false"/>
        <w:overflowPunct w:val="false"/>
        <w:spacing w:lineRule="atLeast" w:line="20" w:before="120" w:after="120"/>
        <w:jc w:val="both"/>
        <w:textAlignment w:val="au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sz w:val="20"/>
        </w:rPr>
        <w:t>Dane obiektu</w:t>
      </w:r>
      <w:r>
        <w:rPr>
          <w:rFonts w:cs="Arial" w:ascii="Arial" w:hAnsi="Arial"/>
          <w:bCs/>
          <w:sz w:val="20"/>
        </w:rPr>
        <w:t>,</w:t>
      </w:r>
      <w:r>
        <w:rPr>
          <w:rFonts w:cs="Arial" w:ascii="Arial" w:hAnsi="Arial"/>
          <w:sz w:val="20"/>
        </w:rPr>
        <w:t xml:space="preserve"> do którego OSD dostarczać będzie energię elektryczną</w:t>
      </w:r>
    </w:p>
    <w:tbl>
      <w:tblPr>
        <w:tblW w:w="1029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851"/>
        <w:gridCol w:w="2396"/>
        <w:gridCol w:w="1829"/>
        <w:gridCol w:w="1143"/>
      </w:tblGrid>
      <w:tr>
        <w:trPr/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Nazwa obiektu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Kod pocztowy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Miejscowość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Ulica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Nr lokalu/obiektu 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98" w:type="dxa"/>
            </w:tcMar>
          </w:tcPr>
          <w:p>
            <w:pPr>
              <w:pStyle w:val="Lista"/>
              <w:widowControl w:val="false"/>
              <w:tabs>
                <w:tab w:val="left" w:pos="0" w:leader="none"/>
              </w:tabs>
              <w:suppressAutoHyphens w:val="false"/>
              <w:overflowPunct w:val="false"/>
              <w:spacing w:lineRule="atLeast" w:line="20"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</w:tbl>
    <w:p>
      <w:pPr>
        <w:pStyle w:val="Lista"/>
        <w:widowControl w:val="false"/>
        <w:numPr>
          <w:ilvl w:val="0"/>
          <w:numId w:val="1"/>
        </w:numPr>
        <w:tabs>
          <w:tab w:val="left" w:pos="0" w:leader="none"/>
        </w:tabs>
        <w:suppressAutoHyphens w:val="false"/>
        <w:overflowPunct w:val="false"/>
        <w:spacing w:lineRule="atLeast" w:line="20" w:before="120" w:after="120"/>
        <w:jc w:val="both"/>
        <w:textAlignment w:val="auto"/>
        <w:rPr/>
      </w:pPr>
      <w:r>
        <w:rPr>
          <w:rFonts w:cs="Arial" w:ascii="Arial" w:hAnsi="Arial"/>
          <w:sz w:val="20"/>
        </w:rPr>
        <w:t>Parametry techniczne obiektu:</w:t>
      </w:r>
    </w:p>
    <w:p>
      <w:pPr>
        <w:pStyle w:val="Lista"/>
        <w:widowControl w:val="false"/>
        <w:tabs>
          <w:tab w:val="left" w:pos="0" w:leader="none"/>
        </w:tabs>
        <w:suppressAutoHyphens w:val="false"/>
        <w:overflowPunct w:val="false"/>
        <w:spacing w:lineRule="atLeast" w:line="20" w:before="120" w:after="120"/>
        <w:ind w:left="72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74930</wp:posOffset>
                </wp:positionV>
                <wp:extent cx="6391275" cy="210439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720" cy="210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03"/>
                              <w:gridCol w:w="578"/>
                              <w:gridCol w:w="294"/>
                              <w:gridCol w:w="1636"/>
                              <w:gridCol w:w="7"/>
                              <w:gridCol w:w="6"/>
                              <w:gridCol w:w="794"/>
                              <w:gridCol w:w="1"/>
                              <w:gridCol w:w="2273"/>
                              <w:gridCol w:w="1780"/>
                              <w:gridCol w:w="793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Moc przyłączeniowa obiektu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Grupa przyłączeniowa</w:t>
                                  </w:r>
                                </w:p>
                              </w:tc>
                              <w:tc>
                                <w:tcPr>
                                  <w:tcW w:w="5641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 xml:space="preserve">Współczynnik mocy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A"/>
                                      <w:sz w:val="14"/>
                                      <w:szCs w:val="14"/>
                                    </w:rPr>
                                    <w:t>tg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φ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  <w:vertAlign w:val="sub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Grupa taryfowa</w:t>
                                  </w:r>
                                </w:p>
                              </w:tc>
                              <w:tc>
                                <w:tcPr>
                                  <w:tcW w:w="5641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" w:hRule="atLeast"/>
                              </w:trPr>
                              <w:tc>
                                <w:tcPr>
                                  <w:tcW w:w="10065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Dopuszczalne czasy trwania przerw w dostarczaniu energii elektrycznej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" w:hRule="atLeast"/>
                              </w:trPr>
                              <w:tc>
                                <w:tcPr>
                                  <w:tcW w:w="5218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Czas trwania jednorazowej przerwy  tj. całkowitej, jednoczesnej przerwy w zasilaniu wszystkich  miejsc dostarczania dla obiektu  nie może przekroczyć: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Łączny czas trwania przerw w ciągu roku kalendarzowego, stanowiący sumę czasów trwania przerw jednorazowych, tj. całkowitych jednoczesnych przerw w zasilaniu wszystkich miejsc dostarczania dla obiektu  nie może przekroczyć: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" w:hRule="atLeast"/>
                              </w:trPr>
                              <w:tc>
                                <w:tcPr>
                                  <w:tcW w:w="248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Przerwy planowanej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godz.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Przerwy planowanej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>godz.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" w:hRule="atLeast"/>
                              </w:trPr>
                              <w:tc>
                                <w:tcPr>
                                  <w:tcW w:w="248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Przerwy nieplanowanej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godz.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Przerwy nieplanowanej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>godz.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" w:hRule="atLeast"/>
                              </w:trPr>
                              <w:tc>
                                <w:tcPr>
                                  <w:tcW w:w="441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nr warunków przyłączenia/umowy o przyłączenie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1" stroked="f" style="position:absolute;margin-left:-5.65pt;margin-top:5.9pt;width:503.15pt;height:165.6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903"/>
                        <w:gridCol w:w="578"/>
                        <w:gridCol w:w="294"/>
                        <w:gridCol w:w="1636"/>
                        <w:gridCol w:w="7"/>
                        <w:gridCol w:w="6"/>
                        <w:gridCol w:w="794"/>
                        <w:gridCol w:w="1"/>
                        <w:gridCol w:w="2273"/>
                        <w:gridCol w:w="1780"/>
                        <w:gridCol w:w="793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19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Moc przyłączeniowa obiektu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49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Grupa przyłączeniowa</w:t>
                            </w:r>
                          </w:p>
                        </w:tc>
                        <w:tc>
                          <w:tcPr>
                            <w:tcW w:w="5641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</w:tr>
                      <w:tr>
                        <w:trPr>
                          <w:trHeight w:val="416" w:hRule="atLeast"/>
                        </w:trPr>
                        <w:tc>
                          <w:tcPr>
                            <w:tcW w:w="19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 xml:space="preserve">Współczynnik mocy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sz w:val="14"/>
                                <w:szCs w:val="14"/>
                              </w:rPr>
                              <w:t>tg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φ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spacing w:val="0"/>
                                <w:sz w:val="14"/>
                                <w:szCs w:val="14"/>
                                <w:vertAlign w:val="sub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spacing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1649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Grupa taryfowa</w:t>
                            </w:r>
                          </w:p>
                        </w:tc>
                        <w:tc>
                          <w:tcPr>
                            <w:tcW w:w="5641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40" w:hRule="atLeast"/>
                        </w:trPr>
                        <w:tc>
                          <w:tcPr>
                            <w:tcW w:w="10065" w:type="dxa"/>
                            <w:gridSpan w:val="11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Dopuszczalne czasy trwania przerw w dostarczaniu energii elektrycznej</w:t>
                            </w:r>
                          </w:p>
                        </w:tc>
                      </w:tr>
                      <w:tr>
                        <w:trPr>
                          <w:trHeight w:val="140" w:hRule="atLeast"/>
                        </w:trPr>
                        <w:tc>
                          <w:tcPr>
                            <w:tcW w:w="5218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Czas trwania jednorazowej przerwy  tj. całkowitej, jednoczesnej przerwy w zasilaniu wszystkich  miejsc dostarczania dla obiektu  nie może przekroczyć:</w:t>
                            </w:r>
                          </w:p>
                        </w:tc>
                        <w:tc>
                          <w:tcPr>
                            <w:tcW w:w="484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Łączny czas trwania przerw w ciągu roku kalendarzowego, stanowiący sumę czasów trwania przerw jednorazowych, tj. całkowitych jednoczesnych przerw w zasilaniu wszystkich miejsc dostarczania dla obiektu  nie może przekroczyć:</w:t>
                            </w:r>
                          </w:p>
                        </w:tc>
                      </w:tr>
                      <w:tr>
                        <w:trPr>
                          <w:trHeight w:val="140" w:hRule="atLeast"/>
                        </w:trPr>
                        <w:tc>
                          <w:tcPr>
                            <w:tcW w:w="248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Przerwy planowanej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godz.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Przerwy planowanej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>godz.</w:t>
                            </w:r>
                          </w:p>
                        </w:tc>
                      </w:tr>
                      <w:tr>
                        <w:trPr>
                          <w:trHeight w:val="140" w:hRule="atLeast"/>
                        </w:trPr>
                        <w:tc>
                          <w:tcPr>
                            <w:tcW w:w="248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Przerwy nieplanowanej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0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godz.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Przerwy nieplanowanej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>godz.</w:t>
                            </w:r>
                          </w:p>
                        </w:tc>
                      </w:tr>
                      <w:tr>
                        <w:trPr>
                          <w:trHeight w:val="140" w:hRule="atLeast"/>
                        </w:trPr>
                        <w:tc>
                          <w:tcPr>
                            <w:tcW w:w="441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nr warunków przyłączenia/umowy o przyłączenie</w:t>
                            </w:r>
                          </w:p>
                        </w:tc>
                        <w:tc>
                          <w:tcPr>
                            <w:tcW w:w="5654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a"/>
        <w:widowControl w:val="false"/>
        <w:numPr>
          <w:ilvl w:val="0"/>
          <w:numId w:val="1"/>
        </w:numPr>
        <w:tabs>
          <w:tab w:val="left" w:pos="0" w:leader="none"/>
        </w:tabs>
        <w:suppressAutoHyphens w:val="false"/>
        <w:overflowPunct w:val="false"/>
        <w:spacing w:lineRule="atLeast" w:line="20" w:before="120" w:after="120"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Charakterystyka poszczególnych miejsc dostarczania: </w:t>
      </w:r>
    </w:p>
    <w:p>
      <w:pPr>
        <w:pStyle w:val="Lista"/>
        <w:widowControl w:val="false"/>
        <w:numPr>
          <w:ilvl w:val="0"/>
          <w:numId w:val="0"/>
        </w:numPr>
        <w:tabs>
          <w:tab w:val="left" w:pos="0" w:leader="none"/>
        </w:tabs>
        <w:suppressAutoHyphens w:val="false"/>
        <w:overflowPunct w:val="false"/>
        <w:spacing w:lineRule="atLeast" w:line="20" w:before="120" w:after="120"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przyłącze P1:</w:t>
      </w:r>
    </w:p>
    <w:p>
      <w:pPr>
        <w:pStyle w:val="Lista"/>
        <w:widowControl w:val="false"/>
        <w:tabs>
          <w:tab w:val="left" w:pos="0" w:leader="none"/>
        </w:tabs>
        <w:suppressAutoHyphens w:val="false"/>
        <w:overflowPunct w:val="false"/>
        <w:spacing w:lineRule="atLeast" w:line="20" w:before="120" w:after="120"/>
        <w:ind w:left="720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-39370</wp:posOffset>
                </wp:positionH>
                <wp:positionV relativeFrom="paragraph">
                  <wp:posOffset>74930</wp:posOffset>
                </wp:positionV>
                <wp:extent cx="6391275" cy="2066290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720" cy="206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47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42" w:type="dxa"/>
                                <w:bottom w:w="0" w:type="dxa"/>
                                <w:right w:w="57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315"/>
                              <w:gridCol w:w="977"/>
                              <w:gridCol w:w="1"/>
                              <w:gridCol w:w="247"/>
                              <w:gridCol w:w="877"/>
                              <w:gridCol w:w="293"/>
                              <w:gridCol w:w="266"/>
                              <w:gridCol w:w="0"/>
                              <w:gridCol w:w="841"/>
                              <w:gridCol w:w="740"/>
                              <w:gridCol w:w="2"/>
                              <w:gridCol w:w="653"/>
                              <w:gridCol w:w="657"/>
                              <w:gridCol w:w="1313"/>
                              <w:gridCol w:w="9"/>
                              <w:gridCol w:w="1566"/>
                              <w:gridCol w:w="308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29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>Nazwa miejsca dostarczania</w:t>
                                  </w:r>
                                </w:p>
                              </w:tc>
                              <w:tc>
                                <w:tcPr>
                                  <w:tcW w:w="7773" w:type="dxa"/>
                                  <w:gridSpan w:val="1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hd w:val="clear" w:fill="FFFF00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>Moc przyłączeniowa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>Kod PPE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>Przekładniki prąd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  <w:shd w:fill="F2F2F2" w:val="clear"/>
                                    </w:rPr>
                                    <w:t>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 xml:space="preserve">/                         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>Minimalna moc umowna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>Przekładniki napięciowe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3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Cs/>
                                      <w:color w:val="00000A"/>
                                      <w:spacing w:val="0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2540" w:type="dxa"/>
                                  <w:gridSpan w:val="4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 xml:space="preserve">Lokalizacja układu pomiarowo-rozliczeniowego 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gridSpan w:val="7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Budynek odbiorcy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 xml:space="preserve">własność licznika 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>układ podstawowy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  <w:t>Sprzedawcy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2540" w:type="dxa"/>
                                  <w:gridSpan w:val="4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0" w:hanging="0"/>
                                    <w:rPr>
                                      <w:rFonts w:ascii="Arial" w:hAnsi="Arial" w:cs="Arial"/>
                                      <w:color w:val="00000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gridSpan w:val="7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12"/>
                                      <w:szCs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0" w:hanging="0"/>
                                    <w:rPr>
                                      <w:rFonts w:ascii="Arial" w:hAnsi="Arial" w:cs="Arial"/>
                                      <w:color w:val="00000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>układ rezerwowy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0" w:before="0" w:after="120"/>
                                    <w:ind w:right="181" w:hanging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3710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120"/>
                                    <w:ind w:righ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>Miejsce dostarczania energii elektrycznej stanowią</w:t>
                                  </w:r>
                                </w:p>
                              </w:tc>
                              <w:tc>
                                <w:tcPr>
                                  <w:tcW w:w="6355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a"/>
                                    <w:spacing w:lineRule="atLeast" w:line="20" w:before="0" w:after="120"/>
                                    <w:ind w:left="360" w:right="0" w:hanging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iCs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 w:val="false"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24"/>
                                    </w:rPr>
                                    <w:t xml:space="preserve">zaciski prądowe na wyjściu przewodów  od zabezpieczenia w złączu w kierunku instalacji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 w:val="false"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24"/>
                                    </w:rPr>
                                    <w:t>Odbiorcy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i w:val="false"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24"/>
                                    </w:rPr>
                                    <w:t xml:space="preserve"> - przy zasilaniu kablem ziemnym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3710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120"/>
                                    <w:ind w:righ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 xml:space="preserve">Miejsce rozgraniczenia własności urządzeń elektroenergetycznych pomiędzy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A"/>
                                      <w:sz w:val="12"/>
                                      <w:szCs w:val="12"/>
                                    </w:rPr>
                                    <w:t>OSD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A"/>
                                      <w:sz w:val="12"/>
                                      <w:szCs w:val="12"/>
                                    </w:rPr>
                                    <w:t>Klientem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12"/>
                                      <w:szCs w:val="12"/>
                                    </w:rPr>
                                    <w:t xml:space="preserve"> stanowią:</w:t>
                                  </w:r>
                                </w:p>
                              </w:tc>
                              <w:tc>
                                <w:tcPr>
                                  <w:tcW w:w="6355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4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a"/>
                                    <w:spacing w:lineRule="atLeast" w:line="20" w:before="0" w:after="120"/>
                                    <w:ind w:left="360" w:right="0" w:hanging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iCs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 w:val="false"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24"/>
                                    </w:rPr>
                                    <w:t xml:space="preserve">zaciski prądowe na wyjściu przewodów  od zabezpieczenia w złączu w kierunku instalacji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 w:val="false"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24"/>
                                    </w:rPr>
                                    <w:t>Odbiorcy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i w:val="false"/>
                                      <w:iCs/>
                                      <w:color w:val="00000A"/>
                                      <w:spacing w:val="0"/>
                                      <w:sz w:val="14"/>
                                      <w:szCs w:val="24"/>
                                    </w:rPr>
                                    <w:t xml:space="preserve"> - przy zasilaniu kablem ziemnym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2" stroked="f" style="position:absolute;margin-left:-3.1pt;margin-top:5.9pt;width:503.15pt;height:162.6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47" w:type="dxa"/>
                        <w:tbl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42" w:type="dxa"/>
                          <w:bottom w:w="0" w:type="dxa"/>
                          <w:right w:w="57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315"/>
                        <w:gridCol w:w="977"/>
                        <w:gridCol w:w="1"/>
                        <w:gridCol w:w="247"/>
                        <w:gridCol w:w="877"/>
                        <w:gridCol w:w="293"/>
                        <w:gridCol w:w="266"/>
                        <w:gridCol w:w="0"/>
                        <w:gridCol w:w="841"/>
                        <w:gridCol w:w="740"/>
                        <w:gridCol w:w="2"/>
                        <w:gridCol w:w="653"/>
                        <w:gridCol w:w="657"/>
                        <w:gridCol w:w="1313"/>
                        <w:gridCol w:w="9"/>
                        <w:gridCol w:w="1566"/>
                        <w:gridCol w:w="308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29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>Nazwa miejsca dostarczania</w:t>
                            </w:r>
                          </w:p>
                        </w:tc>
                        <w:tc>
                          <w:tcPr>
                            <w:tcW w:w="7773" w:type="dxa"/>
                            <w:gridSpan w:val="15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hd w:val="clear" w:fill="FFFF00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Cs/>
                                <w:iCs/>
                                <w:color w:val="00000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6" w:hRule="atLeast"/>
                        </w:trPr>
                        <w:tc>
                          <w:tcPr>
                            <w:tcW w:w="1315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>Moc przyłączeniowa</w:t>
                            </w:r>
                          </w:p>
                        </w:tc>
                        <w:tc>
                          <w:tcPr>
                            <w:tcW w:w="97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83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>Kod PPE</w:t>
                            </w:r>
                          </w:p>
                        </w:tc>
                        <w:tc>
                          <w:tcPr>
                            <w:tcW w:w="6089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6" w:hRule="atLeast"/>
                        </w:trPr>
                        <w:tc>
                          <w:tcPr>
                            <w:tcW w:w="1315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>Przekładniki prąd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  <w:shd w:fill="F2F2F2" w:val="clear"/>
                              </w:rPr>
                              <w:t>o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 xml:space="preserve">/                         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4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>Minimalna moc umowna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</w:r>
                          </w:p>
                        </w:tc>
                        <w:tc>
                          <w:tcPr>
                            <w:tcW w:w="65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7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>Przekładniki napięciowe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3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color w:val="00000A"/>
                                <w:spacing w:val="0"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2540" w:type="dxa"/>
                            <w:gridSpan w:val="4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 xml:space="preserve">Lokalizacja układu pomiarowo-rozliczeniowego </w:t>
                            </w:r>
                          </w:p>
                        </w:tc>
                        <w:tc>
                          <w:tcPr>
                            <w:tcW w:w="3019" w:type="dxa"/>
                            <w:gridSpan w:val="7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Cs/>
                                <w:iCs/>
                                <w:spacing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Budynek odbiorcy</w:t>
                            </w:r>
                          </w:p>
                        </w:tc>
                        <w:tc>
                          <w:tcPr>
                            <w:tcW w:w="1310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 xml:space="preserve">własność licznika </w:t>
                            </w:r>
                          </w:p>
                        </w:tc>
                        <w:tc>
                          <w:tcPr>
                            <w:tcW w:w="132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>układ podstawowy</w:t>
                            </w:r>
                          </w:p>
                        </w:tc>
                        <w:tc>
                          <w:tcPr>
                            <w:tcW w:w="187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Cs/>
                                <w:iCs/>
                                <w:spacing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  <w:t>Sprzedawcy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2540" w:type="dxa"/>
                            <w:gridSpan w:val="4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0" w:hanging="0"/>
                              <w:rPr>
                                <w:rFonts w:ascii="Arial" w:hAnsi="Arial" w:cs="Arial"/>
                                <w:color w:val="00000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</w:r>
                          </w:p>
                        </w:tc>
                        <w:tc>
                          <w:tcPr>
                            <w:tcW w:w="3019" w:type="dxa"/>
                            <w:gridSpan w:val="7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12"/>
                                <w:szCs w:val="12"/>
                              </w:rPr>
                            </w:r>
                          </w:p>
                        </w:tc>
                        <w:tc>
                          <w:tcPr>
                            <w:tcW w:w="1310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0" w:hanging="0"/>
                              <w:rPr>
                                <w:rFonts w:ascii="Arial" w:hAnsi="Arial" w:cs="Arial"/>
                                <w:color w:val="00000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</w:r>
                          </w:p>
                        </w:tc>
                        <w:tc>
                          <w:tcPr>
                            <w:tcW w:w="132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>układ rezerwowy</w:t>
                            </w:r>
                          </w:p>
                        </w:tc>
                        <w:tc>
                          <w:tcPr>
                            <w:tcW w:w="187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0" w:before="0" w:after="120"/>
                              <w:ind w:right="181" w:hanging="0"/>
                              <w:rPr>
                                <w:rFonts w:ascii="Arial" w:hAnsi="Arial" w:cs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Cs/>
                                <w:color w:val="00000A"/>
                                <w:spacing w:val="0"/>
                                <w:sz w:val="14"/>
                                <w:szCs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3710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120"/>
                              <w:ind w:righ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>Miejsce dostarczania energii elektrycznej stanowią</w:t>
                            </w:r>
                          </w:p>
                        </w:tc>
                        <w:tc>
                          <w:tcPr>
                            <w:tcW w:w="6355" w:type="dxa"/>
                            <w:gridSpan w:val="11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Lista"/>
                              <w:spacing w:lineRule="atLeast" w:line="20" w:before="0" w:after="120"/>
                              <w:ind w:left="360" w:right="0" w:hanging="0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pacing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 w:val="false"/>
                                <w:iCs/>
                                <w:color w:val="00000A"/>
                                <w:spacing w:val="0"/>
                                <w:sz w:val="14"/>
                                <w:szCs w:val="24"/>
                              </w:rPr>
                              <w:t xml:space="preserve">zaciski prądowe na wyjściu przewodów  od zabezpieczenia w złączu w kierunku instalacji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 w:val="false"/>
                                <w:iCs/>
                                <w:color w:val="00000A"/>
                                <w:spacing w:val="0"/>
                                <w:sz w:val="14"/>
                                <w:szCs w:val="24"/>
                              </w:rPr>
                              <w:t>Odbiorcy</w:t>
                            </w:r>
                            <w:r>
                              <w:rPr>
                                <w:rFonts w:cs="Times New Roman"/>
                                <w:bCs/>
                                <w:i w:val="false"/>
                                <w:iCs/>
                                <w:color w:val="00000A"/>
                                <w:spacing w:val="0"/>
                                <w:sz w:val="14"/>
                                <w:szCs w:val="24"/>
                              </w:rPr>
                              <w:t xml:space="preserve"> - przy zasilaniu kablem ziemnym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3710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120"/>
                              <w:ind w:righ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 xml:space="preserve">Miejsce rozgraniczenia własności urządzeń elektroenergetycznych pomiędzy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sz w:val="12"/>
                                <w:szCs w:val="12"/>
                              </w:rPr>
                              <w:t>OSD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 xml:space="preserve"> a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sz w:val="12"/>
                                <w:szCs w:val="12"/>
                              </w:rPr>
                              <w:t>Klientem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12"/>
                                <w:szCs w:val="12"/>
                              </w:rPr>
                              <w:t xml:space="preserve"> stanowią:</w:t>
                            </w:r>
                          </w:p>
                        </w:tc>
                        <w:tc>
                          <w:tcPr>
                            <w:tcW w:w="6355" w:type="dxa"/>
                            <w:gridSpan w:val="11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42" w:type="dxa"/>
                            </w:tcMar>
                            <w:vAlign w:val="center"/>
                          </w:tcPr>
                          <w:p>
                            <w:pPr>
                              <w:pStyle w:val="Lista"/>
                              <w:spacing w:lineRule="atLeast" w:line="20" w:before="0" w:after="120"/>
                              <w:ind w:left="360" w:right="0" w:hanging="0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pacing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 w:val="false"/>
                                <w:iCs/>
                                <w:color w:val="00000A"/>
                                <w:spacing w:val="0"/>
                                <w:sz w:val="14"/>
                                <w:szCs w:val="24"/>
                              </w:rPr>
                              <w:t xml:space="preserve">zaciski prądowe na wyjściu przewodów  od zabezpieczenia w złączu w kierunku instalacji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 w:val="false"/>
                                <w:iCs/>
                                <w:color w:val="00000A"/>
                                <w:spacing w:val="0"/>
                                <w:sz w:val="14"/>
                                <w:szCs w:val="24"/>
                              </w:rPr>
                              <w:t>Odbiorcy</w:t>
                            </w:r>
                            <w:r>
                              <w:rPr>
                                <w:rFonts w:cs="Times New Roman"/>
                                <w:bCs/>
                                <w:i w:val="false"/>
                                <w:iCs/>
                                <w:color w:val="00000A"/>
                                <w:spacing w:val="0"/>
                                <w:sz w:val="14"/>
                                <w:szCs w:val="24"/>
                              </w:rPr>
                              <w:t xml:space="preserve"> - przy zasilaniu kablem ziemnym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a"/>
        <w:widowControl w:val="false"/>
        <w:numPr>
          <w:ilvl w:val="0"/>
          <w:numId w:val="0"/>
        </w:numPr>
        <w:tabs>
          <w:tab w:val="left" w:pos="0" w:leader="none"/>
        </w:tabs>
        <w:suppressAutoHyphens w:val="false"/>
        <w:overflowPunct w:val="false"/>
        <w:spacing w:lineRule="atLeast" w:line="20" w:before="120" w:after="120"/>
        <w:jc w:val="both"/>
        <w:textAlignment w:val="auto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76"/>
        <w:ind w:firstLine="709"/>
        <w:outlineLvl w:val="2"/>
        <w:rPr>
          <w:rFonts w:ascii="Arial" w:hAnsi="Arial" w:cs="Arial"/>
          <w:b/>
          <w:b/>
          <w:bCs/>
          <w:sz w:val="18"/>
          <w:szCs w:val="18"/>
          <w:lang w:eastAsia="pl-PL"/>
        </w:rPr>
      </w:pPr>
      <w:r>
        <w:rPr>
          <w:rFonts w:cs="Arial" w:ascii="Arial" w:hAnsi="Arial"/>
          <w:b/>
          <w:bCs/>
          <w:sz w:val="18"/>
          <w:szCs w:val="18"/>
          <w:lang w:eastAsia="pl-PL"/>
        </w:rPr>
        <w:tab/>
        <w:tab/>
        <w:t>Sprzedawca</w:t>
        <w:tab/>
        <w:tab/>
        <w:tab/>
        <w:tab/>
        <w:tab/>
        <w:tab/>
        <w:t>Klient</w:t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8C84E16">
                <wp:simplePos x="0" y="0"/>
                <wp:positionH relativeFrom="column">
                  <wp:posOffset>554990</wp:posOffset>
                </wp:positionH>
                <wp:positionV relativeFrom="paragraph">
                  <wp:posOffset>50800</wp:posOffset>
                </wp:positionV>
                <wp:extent cx="2339975" cy="320675"/>
                <wp:effectExtent l="0" t="0" r="24130" b="24130"/>
                <wp:wrapNone/>
                <wp:docPr id="5" name="Rectangl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280" cy="3200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3" stroked="t" style="position:absolute;margin-left:43.7pt;margin-top:4pt;width:184.15pt;height:25.15pt" wp14:anchorId="08C84E16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AE07283">
                <wp:simplePos x="0" y="0"/>
                <wp:positionH relativeFrom="column">
                  <wp:posOffset>3639820</wp:posOffset>
                </wp:positionH>
                <wp:positionV relativeFrom="paragraph">
                  <wp:posOffset>50800</wp:posOffset>
                </wp:positionV>
                <wp:extent cx="2339975" cy="320675"/>
                <wp:effectExtent l="0" t="0" r="24130" b="24130"/>
                <wp:wrapNone/>
                <wp:docPr id="6" name="Rectangl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280" cy="3200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4" stroked="t" style="position:absolute;margin-left:286.6pt;margin-top:4pt;width:184.15pt;height:25.15pt" wp14:anchorId="7AE07283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suppressAutoHyphens w:val="false"/>
        <w:spacing w:lineRule="auto" w:line="276"/>
        <w:ind w:left="142" w:hanging="0"/>
        <w:jc w:val="center"/>
        <w:rPr>
          <w:rFonts w:ascii="Arial" w:hAnsi="Arial" w:cs="Arial"/>
          <w:b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cs="Arial"/>
          <w:b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</w:r>
    </w:p>
    <w:p>
      <w:pPr>
        <w:pStyle w:val="BodyText2"/>
        <w:spacing w:before="0" w:after="12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993" w:right="848" w:header="284" w:top="709" w:footer="283" w:bottom="709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>
        <w:rStyle w:val="Pagenumber"/>
        <w:rFonts w:cs="Arial" w:ascii="Arial" w:hAnsi="Arial"/>
        <w:sz w:val="14"/>
        <w:szCs w:val="14"/>
      </w:rPr>
      <w:tab/>
      <w:tab/>
      <w:tab/>
    </w:r>
    <w:r>
      <w:rPr>
        <w:rStyle w:val="Pagenumber"/>
        <w:rFonts w:cs="Arial" w:ascii="Arial" w:hAnsi="Arial"/>
        <w:sz w:val="14"/>
        <w:szCs w:val="1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 w:ascii="Arial" w:hAnsi="Arial"/>
        <w:sz w:val="14"/>
        <w:szCs w:val="14"/>
      </w:rPr>
      <w:t>/</w:t>
    </w:r>
    <w:r>
      <w:rPr>
        <w:rStyle w:val="Pagenumber"/>
        <w:rFonts w:cs="Arial" w:ascii="Arial" w:hAnsi="Arial"/>
        <w:sz w:val="14"/>
        <w:szCs w:val="1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Załącznik nr 2 do umowy kompleksowej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Załącznik nr 1 do umowy kompleksowej</w:t>
    </w:r>
  </w:p>
  <w:p>
    <w:pPr>
      <w:pStyle w:val="Gwka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rFonts w:ascii="Arial" w:hAnsi="Arial"/>
      </w:rPr>
    </w:lvl>
    <w:lvl w:ilvl="1">
      <w:start w:val="1"/>
      <w:numFmt w:val="decimal"/>
      <w:lvlText w:val="%1.%2."/>
      <w:lvlJc w:val="left"/>
      <w:pPr>
        <w:ind w:left="1077" w:hanging="360"/>
      </w:pPr>
    </w:lvl>
    <w:lvl w:ilvl="2">
      <w:start w:val="1"/>
      <w:numFmt w:val="decimal"/>
      <w:lvlText w:val="%1.%2.%3."/>
      <w:lvlJc w:val="left"/>
      <w:pPr>
        <w:ind w:left="1434" w:hanging="360"/>
      </w:pPr>
    </w:lvl>
    <w:lvl w:ilvl="3">
      <w:start w:val="1"/>
      <w:numFmt w:val="decimal"/>
      <w:lvlText w:val="%1.%2.%3.%4."/>
      <w:lvlJc w:val="left"/>
      <w:pPr>
        <w:ind w:left="2151" w:hanging="720"/>
      </w:pPr>
    </w:lvl>
    <w:lvl w:ilvl="4">
      <w:start w:val="1"/>
      <w:numFmt w:val="decimal"/>
      <w:lvlText w:val="%1.%2.%3.%4.%5."/>
      <w:lvlJc w:val="left"/>
      <w:pPr>
        <w:ind w:left="2508" w:hanging="720"/>
      </w:pPr>
    </w:lvl>
    <w:lvl w:ilvl="5">
      <w:start w:val="1"/>
      <w:numFmt w:val="decimal"/>
      <w:lvlText w:val="%1.%2.%3.%4.%5.%6."/>
      <w:lvlJc w:val="left"/>
      <w:pPr>
        <w:ind w:left="2865" w:hanging="720"/>
      </w:pPr>
    </w:lvl>
    <w:lvl w:ilvl="6">
      <w:start w:val="1"/>
      <w:numFmt w:val="decimal"/>
      <w:lvlText w:val="%1.%2.%3.%4.%5.%6.%7."/>
      <w:lvlJc w:val="left"/>
      <w:pPr>
        <w:ind w:left="3582" w:hanging="1080"/>
      </w:pPr>
    </w:lvl>
    <w:lvl w:ilvl="7">
      <w:start w:val="1"/>
      <w:numFmt w:val="decimal"/>
      <w:lvlText w:val="%1.%2.%3.%4.%5.%6.%7.%8."/>
      <w:lvlJc w:val="left"/>
      <w:pPr>
        <w:ind w:left="3939" w:hanging="1080"/>
      </w:pPr>
    </w:lvl>
    <w:lvl w:ilvl="8">
      <w:start w:val="1"/>
      <w:numFmt w:val="decimal"/>
      <w:lvlText w:val="%1.%2.%3.%4.%5.%6.%7.%8.%9."/>
      <w:lvlJc w:val="left"/>
      <w:pPr>
        <w:ind w:left="4296" w:hanging="10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16"/>
        <w:b/>
        <w:szCs w:val="16"/>
        <w:bCs/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sz w:val="20"/>
        <w:szCs w:val="20"/>
        <w:rFonts w:ascii="Arial" w:hAnsi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semiHidden="0" w:unhideWhenUsed="0"/>
    <w:lsdException w:name="caption" w:locked="1" w:uiPriority="0" w:qFormat="1"/>
    <w:lsdException w:name="page number" w:locked="1" w:uiPriority="0" w:semiHidden="0" w:unhideWhenUsed="0"/>
    <w:lsdException w:name="Lis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9d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paragraph" w:styleId="Nagwek1">
    <w:name w:val="Nagłówek 1"/>
    <w:basedOn w:val="Normal"/>
    <w:link w:val="Nagwek1Znak"/>
    <w:qFormat/>
    <w:locked/>
    <w:rsid w:val="00571ed4"/>
    <w:pPr>
      <w:keepNext/>
      <w:keepLines/>
      <w:spacing w:before="480" w:after="0"/>
      <w:outlineLvl w:val="0"/>
    </w:pPr>
    <w:rPr>
      <w:rFonts w:ascii="Cambria" w:hAnsi="Cambria" w:eastAsia="맑은 고딕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semiHidden/>
    <w:unhideWhenUsed/>
    <w:qFormat/>
    <w:locked/>
    <w:rsid w:val="00d71048"/>
    <w:pPr>
      <w:keepNext/>
      <w:keepLines/>
      <w:spacing w:before="200" w:after="0"/>
      <w:outlineLvl w:val="1"/>
    </w:pPr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Nagłówek 3"/>
    <w:basedOn w:val="Normal"/>
    <w:link w:val="Nagwek3Znak"/>
    <w:semiHidden/>
    <w:unhideWhenUsed/>
    <w:qFormat/>
    <w:locked/>
    <w:rsid w:val="006334ab"/>
    <w:pPr>
      <w:keepNext/>
      <w:keepLines/>
      <w:spacing w:before="200" w:after="0"/>
      <w:outlineLvl w:val="2"/>
    </w:pPr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</w:rPr>
  </w:style>
  <w:style w:type="paragraph" w:styleId="Nagwek5">
    <w:name w:val="Nagłówek 5"/>
    <w:basedOn w:val="Normal"/>
    <w:link w:val="Nagwek5Znak"/>
    <w:uiPriority w:val="99"/>
    <w:qFormat/>
    <w:locked/>
    <w:rsid w:val="000059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Nagłówek 6"/>
    <w:basedOn w:val="Normal"/>
    <w:link w:val="Nagwek6Znak"/>
    <w:uiPriority w:val="99"/>
    <w:qFormat/>
    <w:rsid w:val="008479d9"/>
    <w:pPr>
      <w:keepNext/>
      <w:ind w:left="0" w:right="0" w:hanging="0"/>
      <w:jc w:val="center"/>
      <w:outlineLvl w:val="5"/>
    </w:pPr>
    <w:rPr>
      <w:rFonts w:ascii="Arial Narrow" w:hAnsi="Arial Narrow" w:cs="Arial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uiPriority w:val="99"/>
    <w:semiHidden/>
    <w:qFormat/>
    <w:locked/>
    <w:rsid w:val="000059e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Nagwek6Znak" w:customStyle="1">
    <w:name w:val="Nagłówek 6 Znak"/>
    <w:basedOn w:val="DefaultParagraphFont"/>
    <w:link w:val="Nagwek6"/>
    <w:uiPriority w:val="99"/>
    <w:qFormat/>
    <w:locked/>
    <w:rsid w:val="00c04254"/>
    <w:rPr>
      <w:rFonts w:ascii="Arial Narrow" w:hAnsi="Arial Narrow" w:cs="Arial"/>
      <w:b/>
      <w:bCs/>
      <w:sz w:val="18"/>
      <w:lang w:eastAsia="ar-SA"/>
    </w:rPr>
  </w:style>
  <w:style w:type="character" w:styleId="Znakiprzypiswdolnych" w:customStyle="1">
    <w:name w:val="Znaki przypisów dolnych"/>
    <w:basedOn w:val="DefaultParagraphFont"/>
    <w:uiPriority w:val="99"/>
    <w:qFormat/>
    <w:rsid w:val="008479d9"/>
    <w:rPr>
      <w:rFonts w:cs="Times New Roman"/>
      <w:vertAlign w:val="superscript"/>
    </w:rPr>
  </w:style>
  <w:style w:type="character" w:styleId="Pagenumber">
    <w:name w:val="page number"/>
    <w:basedOn w:val="DefaultParagraphFont"/>
    <w:qFormat/>
    <w:rsid w:val="008479d9"/>
    <w:rPr>
      <w:rFonts w:cs="Times New Roma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c04254"/>
    <w:rPr>
      <w:rFonts w:cs="Times New Roman"/>
      <w:sz w:val="20"/>
      <w:szCs w:val="20"/>
      <w:lang w:eastAsia="ar-SA" w:bidi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c04254"/>
    <w:rPr>
      <w:rFonts w:cs="Times New Roman"/>
      <w:sz w:val="20"/>
      <w:szCs w:val="20"/>
      <w:lang w:eastAsia="ar-SA" w:bidi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locked/>
    <w:rsid w:val="00c04254"/>
    <w:rPr>
      <w:rFonts w:cs="Times New Roman"/>
      <w:sz w:val="16"/>
      <w:szCs w:val="16"/>
      <w:lang w:eastAsia="ar-SA" w:bidi="ar-SA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c04254"/>
    <w:rPr>
      <w:rFonts w:cs="Times New Roman"/>
      <w:sz w:val="20"/>
      <w:szCs w:val="20"/>
      <w:lang w:eastAsia="ar-SA"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c04254"/>
    <w:rPr>
      <w:rFonts w:cs="Times New Roman"/>
      <w:sz w:val="2"/>
      <w:lang w:eastAsia="ar-SA" w:bidi="ar-SA"/>
    </w:rPr>
  </w:style>
  <w:style w:type="character" w:styleId="Annotationreference">
    <w:name w:val="annotation reference"/>
    <w:basedOn w:val="DefaultParagraphFont"/>
    <w:uiPriority w:val="99"/>
    <w:qFormat/>
    <w:rsid w:val="00ec54b3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locked/>
    <w:rsid w:val="00ec54b3"/>
    <w:rPr>
      <w:rFonts w:cs="Times New Roman"/>
      <w:lang w:eastAsia="ar-SA" w:bidi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qFormat/>
    <w:locked/>
    <w:rsid w:val="00ec54b3"/>
    <w:rPr>
      <w:rFonts w:cs="Times New Roman"/>
      <w:b/>
      <w:bCs/>
      <w:lang w:eastAsia="ar-SA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locked/>
    <w:rsid w:val="000059e7"/>
    <w:rPr>
      <w:rFonts w:cs="Times New Roman"/>
      <w:sz w:val="20"/>
      <w:szCs w:val="20"/>
      <w:lang w:eastAsia="ar-SA" w:bidi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fa6598"/>
    <w:rPr>
      <w:lang w:eastAsia="ar-SA"/>
    </w:rPr>
  </w:style>
  <w:style w:type="character" w:styleId="Strong">
    <w:name w:val="Strong"/>
    <w:basedOn w:val="DefaultParagraphFont"/>
    <w:qFormat/>
    <w:locked/>
    <w:rsid w:val="003c47c0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1e393f"/>
    <w:rPr>
      <w:color w:val="808080"/>
    </w:rPr>
  </w:style>
  <w:style w:type="character" w:styleId="Nagwek2Znak" w:customStyle="1">
    <w:name w:val="Nagłówek 2 Znak"/>
    <w:basedOn w:val="DefaultParagraphFont"/>
    <w:link w:val="Nagwek2"/>
    <w:semiHidden/>
    <w:qFormat/>
    <w:rsid w:val="00d71048"/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334ab"/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  <w:lang w:eastAsia="ar-SA"/>
    </w:rPr>
  </w:style>
  <w:style w:type="character" w:styleId="Czeinternetowe">
    <w:name w:val="Łącze internetowe"/>
    <w:rsid w:val="00571ed4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571ed4"/>
    <w:rPr>
      <w:rFonts w:ascii="Cambria" w:hAnsi="Cambria" w:eastAsia="맑은 고딕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Styl" w:customStyle="1">
    <w:name w:val="Styl"/>
    <w:basedOn w:val="DefaultParagraphFont"/>
    <w:uiPriority w:val="1"/>
    <w:qFormat/>
    <w:rsid w:val="00571ed4"/>
    <w:rPr>
      <w:rFonts w:ascii="Arial" w:hAnsi="Arial"/>
      <w:sz w:val="4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color w:val="000080"/>
      <w:sz w:val="20"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Arial"/>
      <w:b w:val="false"/>
      <w:sz w:val="14"/>
      <w:szCs w:val="1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rFonts w:ascii="Arial" w:hAnsi="Arial"/>
      <w:i w:val="false"/>
      <w:sz w:val="20"/>
    </w:rPr>
  </w:style>
  <w:style w:type="character" w:styleId="ListLabel8">
    <w:name w:val="ListLabel 8"/>
    <w:qFormat/>
    <w:rPr>
      <w:rFonts w:cs="Times New Roman"/>
      <w:b w:val="false"/>
      <w:i w:val="false"/>
      <w:sz w:val="14"/>
      <w:szCs w:val="14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cs="Times New Roman"/>
      <w:sz w:val="14"/>
      <w:szCs w:val="14"/>
    </w:rPr>
  </w:style>
  <w:style w:type="character" w:styleId="ListLabel11">
    <w:name w:val="ListLabel 11"/>
    <w:qFormat/>
    <w:rPr>
      <w:b w:val="false"/>
      <w:i w:val="false"/>
      <w:strike w:val="false"/>
      <w:dstrike w:val="false"/>
    </w:rPr>
  </w:style>
  <w:style w:type="character" w:styleId="ListLabel12">
    <w:name w:val="ListLabel 12"/>
    <w:qFormat/>
    <w:rPr>
      <w:rFonts w:cs="Times New Roman"/>
      <w:b w:val="false"/>
      <w:i w:val="false"/>
      <w:strike w:val="false"/>
      <w:dstrike w:val="false"/>
    </w:rPr>
  </w:style>
  <w:style w:type="character" w:styleId="ListLabel13">
    <w:name w:val="ListLabel 13"/>
    <w:qFormat/>
    <w:rPr>
      <w:rFonts w:cs="Times New Roman"/>
      <w:i w:val="false"/>
    </w:rPr>
  </w:style>
  <w:style w:type="character" w:styleId="ListLabel14">
    <w:name w:val="ListLabel 14"/>
    <w:qFormat/>
    <w:rPr>
      <w:rFonts w:cs="Times New Roman"/>
      <w:b w:val="false"/>
      <w:sz w:val="14"/>
      <w:szCs w:val="14"/>
    </w:rPr>
  </w:style>
  <w:style w:type="character" w:styleId="ListLabel15">
    <w:name w:val="ListLabel 15"/>
    <w:qFormat/>
    <w:rPr>
      <w:rFonts w:cs="Times New Roman"/>
      <w:b w:val="false"/>
      <w:i w:val="false"/>
      <w:strike w:val="false"/>
      <w:dstrike w:val="false"/>
      <w:sz w:val="14"/>
      <w:szCs w:val="14"/>
    </w:rPr>
  </w:style>
  <w:style w:type="character" w:styleId="ListLabel16">
    <w:name w:val="ListLabel 16"/>
    <w:qFormat/>
    <w:rPr>
      <w:rFonts w:cs="Times New Roman"/>
      <w:b w:val="false"/>
      <w:i w:val="false"/>
    </w:rPr>
  </w:style>
  <w:style w:type="character" w:styleId="ListLabel17">
    <w:name w:val="ListLabel 17"/>
    <w:qFormat/>
    <w:rPr>
      <w:rFonts w:cs="Times New Roman"/>
      <w:b/>
      <w:bCs/>
      <w:sz w:val="16"/>
      <w:szCs w:val="16"/>
    </w:rPr>
  </w:style>
  <w:style w:type="character" w:styleId="ListLabel18">
    <w:name w:val="ListLabel 18"/>
    <w:qFormat/>
    <w:rPr>
      <w:rFonts w:ascii="Arial" w:hAnsi="Arial"/>
      <w:sz w:val="20"/>
      <w:szCs w:val="20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Arial" w:hAnsi="Arial"/>
      <w:i w:val="false"/>
      <w:sz w:val="20"/>
    </w:rPr>
  </w:style>
  <w:style w:type="character" w:styleId="ListLabel21">
    <w:name w:val="ListLabel 21"/>
    <w:qFormat/>
    <w:rPr>
      <w:rFonts w:cs="Times New Roman"/>
      <w:b/>
      <w:bCs/>
      <w:sz w:val="16"/>
      <w:szCs w:val="16"/>
    </w:rPr>
  </w:style>
  <w:style w:type="character" w:styleId="ListLabel22">
    <w:name w:val="ListLabel 22"/>
    <w:qFormat/>
    <w:rPr>
      <w:rFonts w:ascii="Arial" w:hAnsi="Arial"/>
      <w:sz w:val="20"/>
      <w:szCs w:val="20"/>
    </w:rPr>
  </w:style>
  <w:style w:type="character" w:styleId="ListLabel23">
    <w:name w:val="ListLabel 23"/>
    <w:qFormat/>
    <w:rPr>
      <w:rFonts w:ascii="Arial" w:hAnsi="Arial"/>
      <w:i w:val="false"/>
      <w:sz w:val="20"/>
    </w:rPr>
  </w:style>
  <w:style w:type="character" w:styleId="ListLabel24">
    <w:name w:val="ListLabel 24"/>
    <w:qFormat/>
    <w:rPr>
      <w:rFonts w:cs="Times New Roman"/>
      <w:b/>
      <w:bCs/>
      <w:sz w:val="16"/>
      <w:szCs w:val="16"/>
    </w:rPr>
  </w:style>
  <w:style w:type="character" w:styleId="ListLabel25">
    <w:name w:val="ListLabel 25"/>
    <w:qFormat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8479d9"/>
    <w:pPr>
      <w:overflowPunct w:val="true"/>
      <w:textAlignment w:val="baseline"/>
    </w:pPr>
    <w:rPr>
      <w:sz w:val="24"/>
    </w:rPr>
  </w:style>
  <w:style w:type="paragraph" w:styleId="Lista">
    <w:name w:val="Lista"/>
    <w:basedOn w:val="Tretekstu"/>
    <w:rsid w:val="008479d9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8479d9"/>
    <w:pPr>
      <w:overflowPunct w:val="true"/>
      <w:jc w:val="both"/>
      <w:textAlignment w:val="baseline"/>
    </w:pPr>
    <w:rPr/>
  </w:style>
  <w:style w:type="paragraph" w:styleId="Stopka">
    <w:name w:val="Stopka"/>
    <w:basedOn w:val="Normal"/>
    <w:link w:val="StopkaZnak"/>
    <w:uiPriority w:val="99"/>
    <w:rsid w:val="008479d9"/>
    <w:pPr>
      <w:tabs>
        <w:tab w:val="center" w:pos="4536" w:leader="none"/>
        <w:tab w:val="right" w:pos="9072" w:leader="none"/>
      </w:tabs>
    </w:pPr>
    <w:rPr/>
  </w:style>
  <w:style w:type="paragraph" w:styleId="Tekstblokowy1" w:customStyle="1">
    <w:name w:val="Tekst blokowy1"/>
    <w:basedOn w:val="Normal"/>
    <w:uiPriority w:val="99"/>
    <w:qFormat/>
    <w:rsid w:val="008479d9"/>
    <w:pPr>
      <w:ind w:left="0" w:right="0" w:hanging="0"/>
    </w:pPr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link w:val="Tekstpodstawowy3Znak"/>
    <w:uiPriority w:val="99"/>
    <w:qFormat/>
    <w:rsid w:val="008479d9"/>
    <w:pPr>
      <w:suppressAutoHyphens w:val="false"/>
      <w:spacing w:before="0" w:after="120"/>
    </w:pPr>
    <w:rPr>
      <w:rFonts w:ascii="Arial" w:hAnsi="Arial"/>
      <w:sz w:val="16"/>
      <w:szCs w:val="16"/>
      <w:lang w:eastAsia="pl-PL"/>
    </w:rPr>
  </w:style>
  <w:style w:type="paragraph" w:styleId="Lista2">
    <w:name w:val="Lista 2"/>
    <w:basedOn w:val="Normal"/>
    <w:uiPriority w:val="99"/>
    <w:rsid w:val="008479d9"/>
    <w:pPr>
      <w:suppressAutoHyphens w:val="false"/>
      <w:ind w:left="566" w:hanging="283"/>
    </w:pPr>
    <w:rPr>
      <w:sz w:val="24"/>
      <w:szCs w:val="24"/>
      <w:lang w:eastAsia="pl-PL"/>
    </w:rPr>
  </w:style>
  <w:style w:type="paragraph" w:styleId="Gwka">
    <w:name w:val="Główka"/>
    <w:basedOn w:val="Normal"/>
    <w:link w:val="NagwekZnak"/>
    <w:uiPriority w:val="99"/>
    <w:rsid w:val="00b14ec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614b5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qFormat/>
    <w:rsid w:val="00ec54b3"/>
    <w:pPr/>
    <w:rPr/>
  </w:style>
  <w:style w:type="paragraph" w:styleId="Annotationsubject">
    <w:name w:val="annotation subject"/>
    <w:basedOn w:val="Annotationtext"/>
    <w:link w:val="TematkomentarzaZnak"/>
    <w:uiPriority w:val="99"/>
    <w:qFormat/>
    <w:rsid w:val="00ec54b3"/>
    <w:pPr/>
    <w:rPr>
      <w:b/>
      <w:bCs/>
    </w:rPr>
  </w:style>
  <w:style w:type="paragraph" w:styleId="ListParagraph">
    <w:name w:val="List Paragraph"/>
    <w:basedOn w:val="Normal"/>
    <w:uiPriority w:val="34"/>
    <w:qFormat/>
    <w:rsid w:val="00cc7a90"/>
    <w:pPr>
      <w:spacing w:before="0" w:after="0"/>
      <w:ind w:left="720" w:hanging="0"/>
      <w:contextualSpacing/>
    </w:pPr>
    <w:rPr/>
  </w:style>
  <w:style w:type="paragraph" w:styleId="Wcicietrecitekstu">
    <w:name w:val="Wcięcie treści tekstu"/>
    <w:basedOn w:val="Normal"/>
    <w:link w:val="TekstpodstawowywcityZnak"/>
    <w:uiPriority w:val="99"/>
    <w:semiHidden/>
    <w:rsid w:val="000059e7"/>
    <w:pPr>
      <w:spacing w:before="0" w:after="120"/>
      <w:ind w:left="283" w:hanging="0"/>
    </w:pPr>
    <w:rPr/>
  </w:style>
  <w:style w:type="paragraph" w:styleId="Stylwyliczanie" w:customStyle="1">
    <w:name w:val="Styl wyliczanie"/>
    <w:basedOn w:val="Normal"/>
    <w:qFormat/>
    <w:rsid w:val="000059e7"/>
    <w:pPr>
      <w:tabs>
        <w:tab w:val="left" w:pos="851" w:leader="none"/>
        <w:tab w:val="center" w:pos="4536" w:leader="none"/>
        <w:tab w:val="right" w:pos="9072" w:leader="none"/>
      </w:tabs>
      <w:suppressAutoHyphens w:val="false"/>
      <w:spacing w:before="120" w:after="0"/>
      <w:jc w:val="both"/>
    </w:pPr>
    <w:rPr>
      <w:color w:val="000000"/>
      <w:sz w:val="24"/>
      <w:szCs w:val="26"/>
      <w:lang w:eastAsia="pl-PL"/>
    </w:rPr>
  </w:style>
  <w:style w:type="paragraph" w:styleId="Styl0" w:customStyle="1">
    <w:name w:val="styl0"/>
    <w:basedOn w:val="Normal"/>
    <w:qFormat/>
    <w:rsid w:val="000059e7"/>
    <w:pPr>
      <w:tabs>
        <w:tab w:val="center" w:pos="4536" w:leader="none"/>
        <w:tab w:val="right" w:pos="9072" w:leader="none"/>
      </w:tabs>
      <w:suppressAutoHyphens w:val="false"/>
      <w:jc w:val="both"/>
    </w:pPr>
    <w:rPr>
      <w:color w:val="000000"/>
      <w:sz w:val="24"/>
      <w:szCs w:val="26"/>
      <w:lang w:eastAsia="pl-PL"/>
    </w:rPr>
  </w:style>
  <w:style w:type="paragraph" w:styleId="Revision">
    <w:name w:val="Revision"/>
    <w:uiPriority w:val="99"/>
    <w:semiHidden/>
    <w:qFormat/>
    <w:rsid w:val="00dd4ca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paragraph" w:styleId="Default" w:customStyle="1">
    <w:name w:val="Default"/>
    <w:qFormat/>
    <w:rsid w:val="00e17de0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styleId="BodyText21" w:customStyle="1">
    <w:name w:val="Body Text 21"/>
    <w:basedOn w:val="Normal"/>
    <w:qFormat/>
    <w:rsid w:val="00fa6598"/>
    <w:pPr>
      <w:overflowPunct w:val="true"/>
      <w:jc w:val="both"/>
      <w:textAlignment w:val="baseline"/>
    </w:pPr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fa6598"/>
    <w:pPr>
      <w:spacing w:lineRule="auto" w:line="480" w:before="0" w:after="120"/>
    </w:pPr>
    <w:rPr/>
  </w:style>
  <w:style w:type="paragraph" w:styleId="CM1" w:customStyle="1">
    <w:name w:val="CM1"/>
    <w:basedOn w:val="Default"/>
    <w:next w:val="Default"/>
    <w:uiPriority w:val="99"/>
    <w:qFormat/>
    <w:rsid w:val="00c07500"/>
    <w:pPr>
      <w:widowControl w:val="false"/>
      <w:spacing w:lineRule="atLeast" w:line="213"/>
    </w:pPr>
    <w:rPr>
      <w:rFonts w:ascii="Times New Roman" w:hAnsi="Times New Roman" w:cs="Times New Roman"/>
      <w:color w:val="00000A"/>
    </w:rPr>
  </w:style>
  <w:style w:type="paragraph" w:styleId="CM2" w:customStyle="1">
    <w:name w:val="CM2"/>
    <w:basedOn w:val="Default"/>
    <w:next w:val="Default"/>
    <w:uiPriority w:val="99"/>
    <w:qFormat/>
    <w:rsid w:val="007c5feb"/>
    <w:pPr>
      <w:widowControl w:val="false"/>
      <w:spacing w:lineRule="atLeast" w:line="211"/>
    </w:pPr>
    <w:rPr>
      <w:rFonts w:ascii="Times New Roman" w:hAnsi="Times New Roman" w:cs="Times New Roman"/>
      <w:color w:val="00000A"/>
    </w:rPr>
  </w:style>
  <w:style w:type="paragraph" w:styleId="NormalWeb">
    <w:name w:val="Normal (Web)"/>
    <w:basedOn w:val="Normal"/>
    <w:uiPriority w:val="99"/>
    <w:qFormat/>
    <w:rsid w:val="00082673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paragraph" w:styleId="StyleT" w:customStyle="1">
    <w:name w:val="StyleT"/>
    <w:basedOn w:val="Styl0"/>
    <w:qFormat/>
    <w:rsid w:val="00022c29"/>
    <w:pPr>
      <w:keepLines/>
      <w:widowControl w:val="false"/>
      <w:spacing w:lineRule="atLeast" w:line="360" w:before="240" w:after="0"/>
      <w:jc w:val="right"/>
    </w:pPr>
    <w:rPr>
      <w:color w:val="00000A"/>
      <w:szCs w:val="20"/>
    </w:rPr>
  </w:style>
  <w:style w:type="paragraph" w:styleId="Tekstpodstawowy31" w:customStyle="1">
    <w:name w:val="Tekst podstawowy 31"/>
    <w:basedOn w:val="Normal"/>
    <w:qFormat/>
    <w:rsid w:val="003f58c9"/>
    <w:pPr>
      <w:suppressAutoHyphens w:val="false"/>
      <w:spacing w:before="0" w:after="120"/>
    </w:pPr>
    <w:rPr>
      <w:rFonts w:ascii="Verdana" w:hAnsi="Verdana"/>
      <w:sz w:val="24"/>
      <w:lang w:eastAsia="pl-PL"/>
    </w:rPr>
  </w:style>
  <w:style w:type="paragraph" w:styleId="Tekstpodstawowywcity" w:customStyle="1">
    <w:name w:val="Tekst podstawowy wci?ty"/>
    <w:basedOn w:val="Normal"/>
    <w:qFormat/>
    <w:rsid w:val="006334ab"/>
    <w:pPr>
      <w:widowControl w:val="false"/>
      <w:suppressAutoHyphens w:val="false"/>
      <w:spacing w:lineRule="auto" w:line="360"/>
      <w:ind w:left="284" w:hanging="284"/>
      <w:jc w:val="both"/>
    </w:pPr>
    <w:rPr>
      <w:rFonts w:ascii="Arial" w:hAnsi="Arial"/>
      <w:sz w:val="24"/>
      <w:lang w:eastAsia="pl-PL"/>
    </w:rPr>
  </w:style>
  <w:style w:type="paragraph" w:styleId="Tekstpodstawowy32" w:customStyle="1">
    <w:name w:val="Tekst podstawowy 32"/>
    <w:basedOn w:val="Normal"/>
    <w:qFormat/>
    <w:rsid w:val="006334ab"/>
    <w:pPr>
      <w:suppressAutoHyphens w:val="false"/>
      <w:spacing w:before="0" w:after="120"/>
    </w:pPr>
    <w:rPr>
      <w:rFonts w:ascii="Verdana" w:hAnsi="Verdana"/>
      <w:sz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a659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8741-963B-4A61-A027-F910E76D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LibreOffice/5.0.4.2$Windows_x86 LibreOffice_project/2b9802c1994aa0b7dc6079e128979269cf95bc78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2015-01-19T20:48:00Z</dcterms:created>
  <dc:creator>Mariusz Konopka</dc:creator>
  <dc:language>pl-PL</dc:language>
  <cp:lastPrinted>2013-11-20T06:17:00Z</cp:lastPrinted>
  <dcterms:modified xsi:type="dcterms:W3CDTF">2016-12-12T09:40:56Z</dcterms:modified>
  <cp:revision>6</cp:revision>
  <dc:title>Nr ewidencyjny: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